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comments.xml" ContentType="application/vnd.openxmlformats-officedocument.wordprocessingml.comment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numPr>
          <w:ilvl w:val="0"/>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Experiment 1 </w:t>
      </w:r>
    </w:p>
    <w:p>
      <w:pPr>
        <w:pStyle w:val="NoSpacing"/>
        <w:numPr>
          <w:ilvl w:val="1"/>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Materials and Methods </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Participants </w:t>
      </w:r>
    </w:p>
    <w:p>
      <w:pPr>
        <w:pStyle w:val="NoSpacing"/>
        <w:spacing w:lineRule="auto" w:line="480"/>
        <w:ind w:left="720"/>
        <w:rPr>
          <w:rFonts w:ascii="Times New Roman" w:hAnsi="Times New Roman" w:cs="Times New Roman"/>
          <w:sz w:val="24"/>
          <w:szCs w:val="24"/>
        </w:rPr>
      </w:pPr>
      <w:r>
        <w:rPr>
          <w:rFonts w:cs="Times New Roman" w:ascii="Times New Roman" w:hAnsi="Times New Roman"/>
          <w:sz w:val="24"/>
          <w:szCs w:val="24"/>
        </w:rPr>
        <w:t xml:space="preserve">[x] participants were recruited through Qualtrics Panels, an online crowdsourcing service. </w:t>
      </w:r>
    </w:p>
    <w:p>
      <w:pPr>
        <w:pStyle w:val="NoSpacing"/>
        <w:spacing w:lineRule="auto" w:line="480"/>
        <w:rPr>
          <w:rFonts w:ascii="Times New Roman" w:hAnsi="Times New Roman" w:cs="Times New Roman"/>
          <w:sz w:val="24"/>
          <w:szCs w:val="24"/>
        </w:rPr>
      </w:pPr>
      <w:r>
        <w:rPr>
          <w:rFonts w:cs="Times New Roman" w:ascii="Times New Roman" w:hAnsi="Times New Roman"/>
          <w:sz w:val="24"/>
          <w:szCs w:val="24"/>
        </w:rPr>
        <w:t>A G*Power analysis (Faul et al., 2007) set the necessary sample size at 856 participants, based on a primary analysis of a mixed-design analysis of variance (ANOVA) incorporating both between-subjects and within-subjects factors, small effect size (0.1) for predicted two-way interaction, Type I and II error rates at 5%, 8 between-subject groups, and 8 measurements of within-subject differences. An additional 20% was added to account for unanticipated loss of participants and to ensure comparable power across all cells, for a total of 1027 pa</w:t>
      </w:r>
      <w:commentRangeStart w:id="0"/>
      <w:r>
        <w:rPr>
          <w:rFonts w:cs="Times New Roman" w:ascii="Times New Roman" w:hAnsi="Times New Roman"/>
          <w:sz w:val="24"/>
          <w:szCs w:val="24"/>
        </w:rPr>
        <w:t>rticipant</w:t>
      </w:r>
      <w:r>
        <w:rPr>
          <w:rFonts w:cs="Times New Roman" w:ascii="Times New Roman" w:hAnsi="Times New Roman"/>
          <w:sz w:val="24"/>
          <w:szCs w:val="24"/>
        </w:rPr>
      </w:r>
      <w:commentRangeEnd w:id="0"/>
      <w:r>
        <w:commentReference w:id="0"/>
      </w:r>
      <w:r>
        <w:rPr>
          <w:rFonts w:cs="Times New Roman" w:ascii="Times New Roman" w:hAnsi="Times New Roman"/>
          <w:sz w:val="24"/>
          <w:szCs w:val="24"/>
        </w:rPr>
        <w:t xml:space="preserve">s. The post-screened sample size was set a priori with the Qualtrics Panels project manager. Consistent with previous research (Mandel and Irwin, 2021; Irwin and Mandel, 2023, Mandel and Kelly, 2024), participants had to be fluent in English, between the ages of 18 to 73, a citizen of either Canada or the United States (dual citizenship was permitted), complete the survey on a desktop device, and pass two attention checks. </w:t>
      </w:r>
      <w:commentRangeStart w:id="1"/>
      <w:r>
        <w:rPr>
          <w:rFonts w:cs="Times New Roman" w:ascii="Times New Roman" w:hAnsi="Times New Roman"/>
          <w:sz w:val="24"/>
          <w:szCs w:val="24"/>
        </w:rPr>
        <w:t>Rectangular sampling was employed to prevent anomalies across ages; relatively equal distribution was sought across the following ranges: 18-24, 25-31, 32-38, 39-45, 46-52, 53-59, 60-66, and 67-73</w:t>
      </w:r>
      <w:r>
        <w:rPr>
          <w:rFonts w:cs="Times New Roman" w:ascii="Times New Roman" w:hAnsi="Times New Roman"/>
          <w:sz w:val="24"/>
          <w:szCs w:val="24"/>
        </w:rPr>
      </w:r>
      <w:commentRangeEnd w:id="1"/>
      <w:r>
        <w:commentReference w:id="1"/>
      </w:r>
      <w:r>
        <w:rPr>
          <w:rFonts w:cs="Times New Roman" w:ascii="Times New Roman" w:hAnsi="Times New Roman"/>
          <w:sz w:val="24"/>
          <w:szCs w:val="24"/>
        </w:rPr>
        <w:t>. The first of the attention checks – the instructional manipulation task (IMT; Oppenheimer, Meyvis, and Davidenko, 2009) – detects inattention to instructions by presenting answer choices listing different sports. However, the full instructions direct participants to press the arrow butting to move on to the next question without selecting any answer choices; respondents who pass the IMT do not select any sports. The second attention check asks participants to answer “what is two plus five?” using a dropdown menu listing answer choices between “0” and “20”. Participants were screened out if they completed the survey in under half the median completion time ([x seconds], based on soft launch data) or in more than 5400 seconds (1.5 hours). Finally, participants were asked about biological sex and age at the beginning and end of the survey; those who provided inconsistent responses between the two sets of questions were screened out. The sample meeting the above criteria (N = [x]) was [x]% [fe]male and had a mean age of [x] (SD = [x]).</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Design </w:t>
      </w:r>
    </w:p>
    <w:p>
      <w:pPr>
        <w:pStyle w:val="NoSpacing"/>
        <w:spacing w:lineRule="auto" w:line="480"/>
        <w:ind w:firstLine="720"/>
        <w:rPr>
          <w:rFonts w:ascii="Times New Roman" w:hAnsi="Times New Roman" w:cs="Times New Roman"/>
          <w:sz w:val="24"/>
          <w:szCs w:val="24"/>
        </w:rPr>
      </w:pPr>
      <w:r>
        <w:rPr>
          <w:rFonts w:cs="Times New Roman" w:ascii="Times New Roman" w:hAnsi="Times New Roman"/>
          <w:sz w:val="24"/>
          <w:szCs w:val="24"/>
        </w:rPr>
        <w:t xml:space="preserve">Participants were randomly assigned to one of 16 counterbalanced conditions in a 2 (task display order) x 2 (temporal display order) x 4 (domain display order) mixed design. Task display order alternated whether participants were shown questions related to the End of History Illusion (EOHI) and then questions related to calibration of confidence (CoC), or vice versa. EOHI questions were adapted from Quoidbach et al. (2013) while CoC questions were adapted from Coane and Umanath (2021). All conditions will be described in the following subsection. </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Materials and Procedure </w:t>
      </w:r>
    </w:p>
    <w:p>
      <w:pPr>
        <w:pStyle w:val="NoSpacing"/>
        <w:spacing w:lineRule="auto" w:line="480"/>
        <w:ind w:firstLine="720"/>
        <w:rPr>
          <w:rFonts w:ascii="Times New Roman" w:hAnsi="Times New Roman" w:cs="Times New Roman"/>
          <w:sz w:val="24"/>
          <w:szCs w:val="24"/>
        </w:rPr>
      </w:pPr>
      <w:r>
        <w:rPr>
          <w:rFonts w:cs="Times New Roman" w:ascii="Times New Roman" w:hAnsi="Times New Roman"/>
          <w:sz w:val="24"/>
          <w:szCs w:val="24"/>
        </w:rPr>
        <w:t xml:space="preserve">The Human Research Ethics Committee of Defence Research and Development Canada approved this experiment prior to its commencement (protocol #2024-042). Participants completed the survey online through the Qualtrics survey platform and were unable to change or view their responses on previous screens. </w:t>
      </w:r>
    </w:p>
    <w:p>
      <w:pPr>
        <w:pStyle w:val="NoSpacing"/>
        <w:spacing w:lineRule="auto" w:line="480"/>
        <w:ind w:firstLine="720"/>
        <w:rPr>
          <w:rFonts w:ascii="Times New Roman" w:hAnsi="Times New Roman" w:cs="Times New Roman"/>
          <w:sz w:val="24"/>
          <w:szCs w:val="24"/>
        </w:rPr>
      </w:pPr>
      <w:r>
        <w:rPr>
          <w:rFonts w:cs="Times New Roman" w:ascii="Times New Roman" w:hAnsi="Times New Roman"/>
          <w:sz w:val="24"/>
          <w:szCs w:val="24"/>
        </w:rPr>
        <w:t xml:space="preserve">Participants who met screening criteria and passed both attention checks continued to the two main tasks, completing questions related to EOHI and CoC. All participants answered the same questions, but the order in which the questions were displayed depended upon the condition to which the participant was assigned to. Approximately half of the participants saw questions related to EOHI first and then CoC, and the other half answered questions related to CoC first and then EOHI. In the EOHI task, participants scored personal statements related to four domains (preferences, personality, values, and life satisfaction) on a scale ranging from -2 (“Strongly Disagree”) to 2 (“Strongly Agree”). Each domain was comprised of 5 statements, for 20 statements total, and was presented on a separate screen. </w:t>
      </w:r>
    </w:p>
    <w:p>
      <w:pPr>
        <w:pStyle w:val="NoSpacing"/>
        <w:spacing w:lineRule="auto" w:line="480"/>
        <w:ind w:firstLine="720"/>
        <w:rPr>
          <w:rFonts w:ascii="Times New Roman" w:hAnsi="Times New Roman" w:cs="Times New Roman"/>
          <w:sz w:val="24"/>
          <w:szCs w:val="24"/>
        </w:rPr>
      </w:pPr>
      <w:commentRangeStart w:id="2"/>
      <w:r>
        <w:rPr>
          <w:rFonts w:cs="Times New Roman" w:ascii="Times New Roman" w:hAnsi="Times New Roman"/>
          <w:i/>
          <w:iCs/>
          <w:sz w:val="24"/>
          <w:szCs w:val="24"/>
        </w:rPr>
        <w:t xml:space="preserve">Note: </w:t>
      </w:r>
      <w:r>
        <w:rPr>
          <w:rFonts w:cs="Times New Roman" w:ascii="Times New Roman" w:hAnsi="Times New Roman"/>
          <w:sz w:val="24"/>
          <w:szCs w:val="24"/>
        </w:rPr>
        <w:t>Statements used for the survey were adapted from various inventories: (1) preference statements were selected from the [x] [ref for x], (2) personality statements were selected from the [x] [ref for x], (3) value statements were selected from the [x] [ref for x], and (4) life satisfaction statements were selected from the [x] [ref for x].</w:t>
      </w:r>
      <w:r>
        <w:rPr>
          <w:rFonts w:cs="Times New Roman" w:ascii="Times New Roman" w:hAnsi="Times New Roman"/>
          <w:sz w:val="24"/>
          <w:szCs w:val="24"/>
        </w:rPr>
      </w:r>
      <w:commentRangeEnd w:id="2"/>
      <w:r>
        <w:commentReference w:id="2"/>
      </w:r>
      <w:r>
        <w:rPr>
          <w:rFonts w:cs="Times New Roman" w:ascii="Times New Roman" w:hAnsi="Times New Roman"/>
          <w:sz w:val="24"/>
          <w:szCs w:val="24"/>
        </w:rPr>
        <w:t xml:space="preserve"> Participants were assigned to one of four counterbalanced conditions for display order of domains: (1) preferences, personality, values, and life satisfaction; (2) personality, values, life satisfaction, and preferences; (3) values, life satisfaction, preferences, and personality; or (4) life satisfaction, preferences, personality, and values. </w:t>
      </w:r>
    </w:p>
    <w:p>
      <w:pPr>
        <w:pStyle w:val="NoSpacing"/>
        <w:spacing w:lineRule="auto" w:line="480"/>
        <w:ind w:firstLine="720"/>
        <w:rPr>
          <w:rFonts w:ascii="Times New Roman" w:hAnsi="Times New Roman" w:cs="Times New Roman"/>
          <w:sz w:val="24"/>
          <w:szCs w:val="24"/>
        </w:rPr>
      </w:pPr>
      <w:r>
        <w:rPr>
          <w:rFonts w:cs="Times New Roman" w:ascii="Times New Roman" w:hAnsi="Times New Roman"/>
          <w:sz w:val="24"/>
          <w:szCs w:val="24"/>
        </w:rPr>
        <w:t>Participants scored statements for all 4 domains at 3 different time points: present, past (10 years ago), and future (10 years from now). The domain display order that participants were assigned to remained fixed when scoring statements at all three different time points. While all participants first scored domain statements in the present time point, the display order of the past and future time points was counterbalanced such that half saw the former first and then the latter, and half saw the opposite (future first and then past). For example, if a participant was assigned to the past first condition and the second domain group, then they would score statements in personality, values, life satisfaction, and personality domains in first the present time frame, then the past, and finally in the future time frame – the display order of the domains would remain the same in all time frames.</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Add DGEN question </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Add change in language depending on the time frame </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Add examples of instructions for domain </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Question: do I need to list each statement for each domain in this section or is it enough to refer to it as included in supplemental material?</w:t>
      </w:r>
    </w:p>
    <w:p>
      <w:pPr>
        <w:pStyle w:val="NoSpacing"/>
        <w:spacing w:lineRule="auto" w:line="480"/>
        <w:rPr>
          <w:rFonts w:ascii="Times New Roman" w:hAnsi="Times New Roman" w:cs="Times New Roman"/>
          <w:sz w:val="24"/>
          <w:szCs w:val="24"/>
        </w:rPr>
      </w:pPr>
      <w:r>
        <w:rPr>
          <w:rFonts w:cs="Times New Roman" w:ascii="Times New Roman" w:hAnsi="Times New Roman"/>
          <w:sz w:val="24"/>
          <w:szCs w:val="24"/>
        </w:rPr>
        <w:t>CoC:</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Explain that there were 421 general knowledge questions, at 4 levels of difficulty (scored as a proportion of the accuracy of partiicpants in coane and umanath)</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8 questions were chosen at random (?not sure, will ask Inderpreet) from each level of difficulty, for a total of 32 general knowledge questions </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Table available online with following information: question ID, randomized order, reverse randomized order, answer to question (T/F), and difficulty level. </w:t>
      </w:r>
    </w:p>
    <w:p>
      <w:pPr>
        <w:pStyle w:val="NoSpacing"/>
        <w:numPr>
          <w:ilvl w:val="0"/>
          <w:numId w:val="2"/>
        </w:numPr>
        <w:spacing w:lineRule="auto" w:line="480"/>
        <w:rPr>
          <w:rFonts w:ascii="Times New Roman" w:hAnsi="Times New Roman" w:cs="Times New Roman"/>
          <w:sz w:val="24"/>
          <w:szCs w:val="24"/>
        </w:rPr>
      </w:pPr>
      <w:r>
        <w:rPr>
          <w:rFonts w:cs="Times New Roman" w:ascii="Times New Roman" w:hAnsi="Times New Roman"/>
          <w:sz w:val="24"/>
          <w:szCs w:val="24"/>
        </w:rPr>
        <w:t xml:space="preserve">CoC questions were randomized using online number randomizer. Participants were assigned to one of two counterbalanced display order: randomized or reverse randomized. </w:t>
      </w:r>
    </w:p>
    <w:p>
      <w:pPr>
        <w:pStyle w:val="NoSpacing"/>
        <w:numPr>
          <w:ilvl w:val="0"/>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Experiment 2 </w:t>
      </w:r>
    </w:p>
    <w:p>
      <w:pPr>
        <w:pStyle w:val="NoSpacing"/>
        <w:numPr>
          <w:ilvl w:val="1"/>
          <w:numId w:val="1"/>
        </w:numPr>
        <w:spacing w:lineRule="auto" w:line="480"/>
        <w:rPr>
          <w:rFonts w:ascii="Times New Roman" w:hAnsi="Times New Roman" w:cs="Times New Roman"/>
          <w:sz w:val="24"/>
          <w:szCs w:val="24"/>
        </w:rPr>
      </w:pPr>
      <w:r>
        <w:rPr>
          <w:rFonts w:cs="Times New Roman" w:ascii="Times New Roman" w:hAnsi="Times New Roman"/>
          <w:sz w:val="24"/>
          <w:szCs w:val="24"/>
        </w:rPr>
        <w:t>Materials and Methods</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Participants</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Design</w:t>
      </w:r>
    </w:p>
    <w:p>
      <w:pPr>
        <w:pStyle w:val="NoSpacing"/>
        <w:numPr>
          <w:ilvl w:val="2"/>
          <w:numId w:val="1"/>
        </w:numPr>
        <w:spacing w:lineRule="auto" w:line="480"/>
        <w:rPr>
          <w:rFonts w:ascii="Times New Roman" w:hAnsi="Times New Roman" w:cs="Times New Roman"/>
          <w:sz w:val="24"/>
          <w:szCs w:val="24"/>
        </w:rPr>
      </w:pPr>
      <w:r>
        <w:rPr>
          <w:rFonts w:cs="Times New Roman" w:ascii="Times New Roman" w:hAnsi="Times New Roman"/>
          <w:sz w:val="24"/>
          <w:szCs w:val="24"/>
        </w:rPr>
        <w:t xml:space="preserve">Materials and Procedure </w:t>
      </w:r>
    </w:p>
    <w:sectPr>
      <w:headerReference w:type="even" r:id="rId2"/>
      <w:headerReference w:type="default" r:id="rId3"/>
      <w:headerReference w:type="first" r:id="rId4"/>
      <w:type w:val="nextPage"/>
      <w:pgSz w:w="12240" w:h="15840"/>
      <w:pgMar w:left="1440" w:right="1440" w:gutter="0" w:header="708" w:top="1440" w:footer="0" w:bottom="1440"/>
      <w:pgNumType w:fmt="decimal"/>
      <w:formProt w:val="false"/>
      <w:textDirection w:val="lrTb"/>
      <w:docGrid w:type="default" w:linePitch="36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Levit I@ADM(DRDC) CDTRC@Defence365" w:date="2025-04-28T12:22:00Z" w:initials="LIC">
    <w:p>
      <w:pPr>
        <w:overflowPunct w:val="false"/>
        <w:spacing w:before="0" w:after="0" w:lineRule="auto" w:line="240"/>
        <w:rPr/>
      </w:pPr>
      <w:r>
        <w:rPr>
          <w:rFonts w:ascii="Liberation Serif" w:hAnsi="Liberation Serif" w:eastAsia="DejaVu Sans" w:cs="DejaVu Sans"/>
          <w:sz w:val="24"/>
          <w:szCs w:val="24"/>
          <w:lang w:val="en-US" w:eastAsia="en-US" w:bidi="en-US"/>
        </w:rPr>
        <w:t>Note to self: Add note if there is oversampling beyond 1027 participants</w:t>
      </w:r>
    </w:p>
  </w:comment>
  <w:comment w:id="1" w:author="Levit I@ADM(DRDC) CDTRC@Defence365" w:date="2025-04-28T12:14:00Z" w:initials="LIC">
    <w:p>
      <w:pPr>
        <w:overflowPunct w:val="false"/>
        <w:spacing w:before="0" w:after="0" w:lineRule="auto" w:line="240"/>
        <w:rPr/>
      </w:pPr>
      <w:r>
        <w:rPr>
          <w:rFonts w:ascii="Liberation Serif" w:hAnsi="Liberation Serif" w:eastAsia="DejaVu Sans" w:cs="DejaVu Sans"/>
          <w:sz w:val="24"/>
          <w:szCs w:val="24"/>
          <w:lang w:val="en-US" w:eastAsia="en-US" w:bidi="en-US"/>
        </w:rPr>
        <w:t>Note to self: Should be added to methods sections in other studies as well</w:t>
      </w:r>
    </w:p>
  </w:comment>
  <w:comment w:id="2" w:author="Levit I@ADM(DRDC) CDTRC@Defence365" w:date="2025-04-28T15:34:00Z" w:initials="LIC">
    <w:p>
      <w:pPr>
        <w:overflowPunct w:val="false"/>
        <w:spacing w:before="0" w:after="0" w:lineRule="auto" w:line="240"/>
        <w:rPr/>
      </w:pPr>
      <w:r>
        <w:rPr>
          <w:rFonts w:ascii="Liberation Serif" w:hAnsi="Liberation Serif" w:eastAsia="DejaVu Sans" w:cs="DejaVu Sans"/>
          <w:sz w:val="24"/>
          <w:szCs w:val="24"/>
          <w:lang w:val="en-US" w:eastAsia="en-US" w:bidi="en-US"/>
        </w:rPr>
        <w:t xml:space="preserve">Need source inventories/scales for the domain statements. Reached out to Inderpreet. </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t>EOHI</w:t>
      <w:tab/>
      <w:t>updated APR28</w:t>
      <w:tab/>
    </w:r>
    <w:r>
      <w:rPr/>
      <w:fldChar w:fldCharType="begin"/>
    </w:r>
    <w:r>
      <w:rPr/>
      <w:instrText xml:space="preserve"> PAGE </w:instrText>
    </w:r>
    <w:r>
      <w:rPr/>
      <w:fldChar w:fldCharType="separate"/>
    </w:r>
    <w:r>
      <w:rPr/>
      <w:t>4</w:t>
    </w:r>
    <w:r>
      <w:rPr/>
      <w:fldChar w:fldCharType="end"/>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t>EOHI</w:t>
      <w:tab/>
      <w:t>updated APR28</w:t>
      <w:tab/>
    </w:r>
    <w:r>
      <w:rPr/>
      <w:fldChar w:fldCharType="begin"/>
    </w:r>
    <w:r>
      <w:rPr/>
      <w:instrText xml:space="preserve"> PAGE </w:instrText>
    </w:r>
    <w:r>
      <w:rPr/>
      <w:fldChar w:fldCharType="separate"/>
    </w:r>
    <w:r>
      <w:rPr/>
      <w:t>4</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numFmt w:val="bullet"/>
      <w:lvlText w:val="-"/>
      <w:lvlJc w:val="left"/>
      <w:pPr>
        <w:tabs>
          <w:tab w:val="num" w:pos="0"/>
        </w:tabs>
        <w:ind w:left="1080" w:hanging="360"/>
      </w:pPr>
      <w:rPr>
        <w:rFonts w:ascii="Times New Roman" w:hAnsi="Times New Roman" w:cs="Times New Roman" w:hint="default"/>
        <w:rFonts w:eastAsiaTheme="minorHAnsi"/>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C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CA"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CA"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207474"/>
    <w:rPr/>
  </w:style>
  <w:style w:type="character" w:styleId="FooterChar" w:customStyle="1">
    <w:name w:val="Footer Char"/>
    <w:basedOn w:val="DefaultParagraphFont"/>
    <w:link w:val="Footer"/>
    <w:uiPriority w:val="99"/>
    <w:qFormat/>
    <w:rsid w:val="00207474"/>
    <w:rPr/>
  </w:style>
  <w:style w:type="character" w:styleId="annotationreference">
    <w:name w:val="annotation reference"/>
    <w:basedOn w:val="DefaultParagraphFont"/>
    <w:uiPriority w:val="99"/>
    <w:semiHidden/>
    <w:unhideWhenUsed/>
    <w:qFormat/>
    <w:rsid w:val="00573f7d"/>
    <w:rPr>
      <w:sz w:val="16"/>
      <w:szCs w:val="16"/>
    </w:rPr>
  </w:style>
  <w:style w:type="character" w:styleId="CommentTextChar" w:customStyle="1">
    <w:name w:val="Comment Text Char"/>
    <w:basedOn w:val="DefaultParagraphFont"/>
    <w:link w:val="AnnotationText"/>
    <w:uiPriority w:val="99"/>
    <w:semiHidden/>
    <w:qFormat/>
    <w:rsid w:val="00573f7d"/>
    <w:rPr>
      <w:sz w:val="20"/>
      <w:szCs w:val="20"/>
    </w:rPr>
  </w:style>
  <w:style w:type="character" w:styleId="CommentSubjectChar" w:customStyle="1">
    <w:name w:val="Comment Subject Char"/>
    <w:basedOn w:val="CommentTextChar"/>
    <w:link w:val="annotationsubject"/>
    <w:uiPriority w:val="99"/>
    <w:semiHidden/>
    <w:qFormat/>
    <w:rsid w:val="00573f7d"/>
    <w:rPr>
      <w:b/>
      <w:bCs/>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NoSpacing">
    <w:name w:val="No Spacing"/>
    <w:uiPriority w:val="1"/>
    <w:qFormat/>
    <w:rsid w:val="00207474"/>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CA" w:eastAsia="en-US" w:bidi="ar-SA"/>
    </w:rPr>
  </w:style>
  <w:style w:type="paragraph" w:styleId="HeaderandFooter">
    <w:name w:val="Header and Footer"/>
    <w:basedOn w:val="Normal"/>
    <w:qFormat/>
    <w:pPr/>
    <w:rPr/>
  </w:style>
  <w:style w:type="paragraph" w:styleId="Header">
    <w:name w:val="Header"/>
    <w:basedOn w:val="Normal"/>
    <w:link w:val="HeaderChar"/>
    <w:uiPriority w:val="99"/>
    <w:unhideWhenUsed/>
    <w:rsid w:val="00207474"/>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207474"/>
    <w:pPr>
      <w:tabs>
        <w:tab w:val="clear" w:pos="720"/>
        <w:tab w:val="center" w:pos="4680" w:leader="none"/>
        <w:tab w:val="right" w:pos="9360" w:leader="none"/>
      </w:tabs>
      <w:spacing w:lineRule="auto" w:line="240" w:before="0" w:after="0"/>
    </w:pPr>
    <w:rPr/>
  </w:style>
  <w:style w:type="paragraph" w:styleId="AnnotationText">
    <w:name w:val="Annotation Text"/>
    <w:basedOn w:val="Normal"/>
    <w:link w:val="CommentTextChar"/>
    <w:uiPriority w:val="99"/>
    <w:semiHidden/>
    <w:unhideWhenUsed/>
    <w:rsid w:val="00573f7d"/>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73f7d"/>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comments" Target="comment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5771</TotalTime>
  <Application>LibreOffice/24.2.7.2$Linux_X86_64 LibreOffice_project/420$Build-2</Application>
  <AppVersion>15.0000</AppVersion>
  <Pages>2</Pages>
  <Words>1038</Words>
  <Characters>5675</Characters>
  <CharactersWithSpaces>6689</CharactersWithSpaces>
  <Paragraphs>27</Paragraphs>
  <Company>DRDC-RDDC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2025-04-24T17:59:00Z</dcterms:created>
  <dc:creator>Levit I@ADM(DRDC) CDTRC@Defence365</dc:creator>
  <dc:description/>
  <dc:language>en-CA</dc:language>
  <cp:lastModifiedBy>Levit I@ADM(DRDC) CDTRC@Defence365</cp:lastModifiedBy>
  <dcterms:modified xsi:type="dcterms:W3CDTF">2025-04-28T20:02:00Z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